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26" w:rsidRPr="00DB4807" w:rsidRDefault="009F2526" w:rsidP="009F2526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</w:pPr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>KATEKESE MINGGU PERTAMA:</w:t>
      </w:r>
    </w:p>
    <w:p w:rsidR="009F2526" w:rsidRPr="00DB4807" w:rsidRDefault="009F2526" w:rsidP="009F2526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</w:pPr>
    </w:p>
    <w:p w:rsidR="009F2526" w:rsidRPr="00DB4807" w:rsidRDefault="009F2526" w:rsidP="009F2526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</w:pPr>
      <w:proofErr w:type="spellStart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>Tradisi</w:t>
      </w:r>
      <w:proofErr w:type="spellEnd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 xml:space="preserve"> -</w:t>
      </w:r>
      <w:r w:rsidR="001E65F6"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>Sejarah</w:t>
      </w:r>
      <w:proofErr w:type="spellEnd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 w:cs="Arial"/>
          <w:b/>
          <w:color w:val="111111"/>
          <w:kern w:val="36"/>
          <w:sz w:val="28"/>
          <w:szCs w:val="28"/>
        </w:rPr>
        <w:t>Adven</w:t>
      </w:r>
      <w:proofErr w:type="spellEnd"/>
    </w:p>
    <w:p w:rsidR="009F2526" w:rsidRPr="009F2526" w:rsidRDefault="009F2526" w:rsidP="009F2526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111111"/>
          <w:kern w:val="36"/>
          <w:sz w:val="24"/>
          <w:szCs w:val="24"/>
        </w:rPr>
      </w:pPr>
    </w:p>
    <w:p w:rsidR="009F2526" w:rsidRPr="008E768B" w:rsidRDefault="009F2526" w:rsidP="00144BED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color w:val="111111"/>
          <w:kern w:val="36"/>
          <w:sz w:val="43"/>
          <w:szCs w:val="43"/>
        </w:rPr>
      </w:pPr>
    </w:p>
    <w:tbl>
      <w:tblPr>
        <w:tblW w:w="95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144BED" w:rsidRPr="008E768B" w:rsidTr="006B6A09">
        <w:trPr>
          <w:tblCellSpacing w:w="0" w:type="dxa"/>
        </w:trPr>
        <w:tc>
          <w:tcPr>
            <w:tcW w:w="9510" w:type="dxa"/>
            <w:vAlign w:val="center"/>
            <w:hideMark/>
          </w:tcPr>
          <w:p w:rsidR="00144BED" w:rsidRPr="008E768B" w:rsidRDefault="00DB4807" w:rsidP="00144BED">
            <w:pPr>
              <w:spacing w:after="12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noProof/>
                <w:color w:val="008DDD"/>
                <w:sz w:val="24"/>
                <w:szCs w:val="24"/>
              </w:rPr>
              <w:drawing>
                <wp:inline distT="0" distB="0" distL="0" distR="0">
                  <wp:extent cx="2750030" cy="1903569"/>
                  <wp:effectExtent l="19050" t="0" r="0" b="0"/>
                  <wp:docPr id="1" name="Picture 1" descr="http://3.bp.blogspot.com/-cA-kaLNIdQ4/UqLGAgyY1QI/AAAAAAAAESU/_lLGf7Z6G1I/s200/Advent_Wreath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cA-kaLNIdQ4/UqLGAgyY1QI/AAAAAAAAESU/_lLGf7Z6G1I/s200/Advent_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293" cy="1903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BED" w:rsidRPr="008E768B" w:rsidTr="006B6A09">
        <w:trPr>
          <w:tblCellSpacing w:w="0" w:type="dxa"/>
        </w:trPr>
        <w:tc>
          <w:tcPr>
            <w:tcW w:w="9510" w:type="dxa"/>
            <w:vAlign w:val="center"/>
            <w:hideMark/>
          </w:tcPr>
          <w:p w:rsidR="00144BED" w:rsidRPr="008E768B" w:rsidRDefault="00144BED" w:rsidP="00144BED">
            <w:pPr>
              <w:spacing w:after="120" w:line="240" w:lineRule="auto"/>
              <w:jc w:val="center"/>
              <w:rPr>
                <w:rFonts w:ascii="Cambria" w:eastAsia="Times New Roman" w:hAnsi="Cambria"/>
                <w:sz w:val="14"/>
                <w:szCs w:val="14"/>
              </w:rPr>
            </w:pPr>
            <w:proofErr w:type="spellStart"/>
            <w:proofErr w:type="gramStart"/>
            <w:r w:rsidRPr="008E768B">
              <w:rPr>
                <w:rFonts w:ascii="Cambria" w:eastAsia="Times New Roman" w:hAnsi="Cambria"/>
                <w:sz w:val="14"/>
                <w:szCs w:val="14"/>
              </w:rPr>
              <w:t>oleh</w:t>
            </w:r>
            <w:proofErr w:type="spellEnd"/>
            <w:proofErr w:type="gramEnd"/>
            <w:r w:rsidRPr="008E768B">
              <w:rPr>
                <w:rFonts w:ascii="Cambria" w:eastAsia="Times New Roman" w:hAnsi="Cambria"/>
                <w:sz w:val="14"/>
                <w:szCs w:val="14"/>
              </w:rPr>
              <w:t>: RP. William Saunders</w:t>
            </w:r>
          </w:p>
          <w:p w:rsidR="006B6A09" w:rsidRPr="008E768B" w:rsidRDefault="006B6A09" w:rsidP="00144BED">
            <w:pPr>
              <w:spacing w:after="120" w:line="240" w:lineRule="auto"/>
              <w:jc w:val="center"/>
              <w:rPr>
                <w:rFonts w:ascii="Cambria" w:eastAsia="Times New Roman" w:hAnsi="Cambria"/>
                <w:sz w:val="14"/>
                <w:szCs w:val="14"/>
              </w:rPr>
            </w:pPr>
          </w:p>
          <w:p w:rsidR="006B6A09" w:rsidRPr="008E768B" w:rsidRDefault="006B6A09" w:rsidP="006B6A09">
            <w:pPr>
              <w:spacing w:after="120" w:line="240" w:lineRule="auto"/>
              <w:jc w:val="both"/>
              <w:rPr>
                <w:rFonts w:ascii="Cambria" w:eastAsia="Times New Roman" w:hAnsi="Cambria"/>
              </w:rPr>
            </w:pPr>
          </w:p>
        </w:tc>
      </w:tr>
      <w:tr w:rsidR="006B6A09" w:rsidRPr="00DB4807" w:rsidTr="006B6A09">
        <w:trPr>
          <w:tblCellSpacing w:w="0" w:type="dxa"/>
        </w:trPr>
        <w:tc>
          <w:tcPr>
            <w:tcW w:w="9510" w:type="dxa"/>
            <w:vAlign w:val="center"/>
          </w:tcPr>
          <w:p w:rsidR="006B6A09" w:rsidRPr="00DB4807" w:rsidRDefault="00382226" w:rsidP="00287018">
            <w:pPr>
              <w:spacing w:after="120" w:line="360" w:lineRule="auto"/>
              <w:jc w:val="both"/>
              <w:rPr>
                <w:rFonts w:ascii="Cambria" w:eastAsia="Times New Roman" w:hAnsi="Cambria"/>
                <w:sz w:val="28"/>
                <w:szCs w:val="28"/>
              </w:rPr>
            </w:pPr>
            <w:r w:rsidRPr="00DB4807">
              <w:rPr>
                <w:rFonts w:ascii="Cambria" w:eastAsia="Times New Roman" w:hAnsi="Cambria"/>
                <w:sz w:val="28"/>
                <w:szCs w:val="28"/>
              </w:rPr>
              <w:t xml:space="preserve">               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Saudara-saudari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yang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terkasih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dalam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Kristus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.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Tidak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terasa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,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kita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sudah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sampai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pada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Tahun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Liturgi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Gereja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dalam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kaitan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dengan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masa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Adven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.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Gereja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Katolik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sangat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mementingkan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masa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Adven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ini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.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Namun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kita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perlu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tahu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,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cari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tahu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,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atau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harus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tahu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tentang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sejarah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Lingkaran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Adven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yang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kita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lihat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dalam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Gereja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saat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>ini</w:t>
            </w:r>
            <w:proofErr w:type="spellEnd"/>
            <w:r w:rsidR="006B6A09" w:rsidRPr="00DB4807">
              <w:rPr>
                <w:rFonts w:ascii="Cambria" w:eastAsia="Times New Roman" w:hAnsi="Cambria"/>
                <w:sz w:val="28"/>
                <w:szCs w:val="28"/>
              </w:rPr>
              <w:t xml:space="preserve">. </w:t>
            </w:r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 xml:space="preserve">Mari, </w:t>
            </w:r>
            <w:proofErr w:type="spellStart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>saudara-saudari</w:t>
            </w:r>
            <w:proofErr w:type="spellEnd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 xml:space="preserve"> yang </w:t>
            </w:r>
            <w:proofErr w:type="spellStart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>terkasih</w:t>
            </w:r>
            <w:proofErr w:type="spellEnd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 xml:space="preserve">, </w:t>
            </w:r>
            <w:proofErr w:type="spellStart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>kita</w:t>
            </w:r>
            <w:proofErr w:type="spellEnd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proofErr w:type="spellStart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>telusuri</w:t>
            </w:r>
            <w:proofErr w:type="spellEnd"/>
            <w:r w:rsidR="001745F9" w:rsidRPr="00DB4807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r w:rsidRPr="00DB4807">
              <w:rPr>
                <w:rFonts w:ascii="Cambria" w:eastAsia="Times New Roman" w:hAnsi="Cambria"/>
                <w:sz w:val="28"/>
                <w:szCs w:val="28"/>
              </w:rPr>
              <w:t>“</w:t>
            </w:r>
            <w:proofErr w:type="spellStart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>Tradisi</w:t>
            </w:r>
            <w:proofErr w:type="spellEnd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>Adven</w:t>
            </w:r>
            <w:proofErr w:type="spellEnd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>Sejarah</w:t>
            </w:r>
            <w:proofErr w:type="spellEnd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>Lingkaran</w:t>
            </w:r>
            <w:proofErr w:type="spellEnd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>Adven</w:t>
            </w:r>
            <w:proofErr w:type="spellEnd"/>
            <w:r w:rsidRPr="00DB4807">
              <w:rPr>
                <w:rFonts w:ascii="Cambria" w:eastAsia="Times New Roman" w:hAnsi="Cambria"/>
                <w:b/>
                <w:i/>
                <w:sz w:val="28"/>
                <w:szCs w:val="28"/>
              </w:rPr>
              <w:t>”.</w:t>
            </w:r>
          </w:p>
        </w:tc>
      </w:tr>
      <w:tr w:rsidR="00276331" w:rsidRPr="00DB4807" w:rsidTr="006B6A09">
        <w:trPr>
          <w:tblCellSpacing w:w="0" w:type="dxa"/>
        </w:trPr>
        <w:tc>
          <w:tcPr>
            <w:tcW w:w="9510" w:type="dxa"/>
            <w:vAlign w:val="center"/>
          </w:tcPr>
          <w:p w:rsidR="00276331" w:rsidRPr="00DB4807" w:rsidRDefault="00276331" w:rsidP="006B6A09">
            <w:pPr>
              <w:spacing w:after="120"/>
              <w:jc w:val="both"/>
              <w:rPr>
                <w:rFonts w:ascii="Cambria" w:eastAsia="Times New Roman" w:hAnsi="Cambria"/>
                <w:sz w:val="28"/>
                <w:szCs w:val="28"/>
              </w:rPr>
            </w:pPr>
          </w:p>
        </w:tc>
      </w:tr>
    </w:tbl>
    <w:p w:rsidR="00144BED" w:rsidRPr="00DB4807" w:rsidRDefault="00144BED" w:rsidP="00382226">
      <w:pPr>
        <w:shd w:val="clear" w:color="auto" w:fill="FFFFFF"/>
        <w:spacing w:after="0" w:line="384" w:lineRule="atLeast"/>
        <w:ind w:firstLine="720"/>
        <w:jc w:val="both"/>
        <w:rPr>
          <w:rFonts w:ascii="Cambria" w:eastAsia="Times New Roman" w:hAnsi="Cambria"/>
          <w:color w:val="555555"/>
          <w:sz w:val="28"/>
          <w:szCs w:val="28"/>
        </w:rPr>
      </w:pP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merupakan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bagian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tradisi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Katolik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sudah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sekian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lama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Namun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asal-usul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bagaimana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hal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tersebut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terbentuk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tidak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r w:rsidR="00382226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382226" w:rsidRPr="00DB4807">
        <w:rPr>
          <w:rFonts w:ascii="Cambria" w:eastAsia="Times New Roman" w:hAnsi="Cambria"/>
          <w:color w:val="555555"/>
          <w:sz w:val="28"/>
          <w:szCs w:val="28"/>
        </w:rPr>
        <w:t>diketahui</w:t>
      </w:r>
      <w:proofErr w:type="spellEnd"/>
      <w:proofErr w:type="gramEnd"/>
      <w:r w:rsidR="00382226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382226" w:rsidRPr="00DB4807">
        <w:rPr>
          <w:rFonts w:ascii="Cambria" w:eastAsia="Times New Roman" w:hAnsi="Cambria"/>
          <w:color w:val="555555"/>
          <w:sz w:val="28"/>
          <w:szCs w:val="28"/>
        </w:rPr>
        <w:t>secara</w:t>
      </w:r>
      <w:proofErr w:type="spellEnd"/>
      <w:r w:rsidR="00382226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pasti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bukti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bangsa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Jerman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pra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-Kristen </w:t>
      </w:r>
      <w:r w:rsidR="00382226" w:rsidRPr="00DB4807">
        <w:rPr>
          <w:rFonts w:ascii="Cambria" w:eastAsia="Times New Roman" w:hAnsi="Cambria"/>
          <w:color w:val="555555"/>
          <w:sz w:val="28"/>
          <w:szCs w:val="28"/>
        </w:rPr>
        <w:t xml:space="preserve">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menggunakan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 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selama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hari-hari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dingin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gelap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bulan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Desember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sebagai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penantian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tibanya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terik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sinar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matahari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cerah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. Di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negara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Skandinavia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pula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tradisi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selama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musim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dingin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ditempatkan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sekitar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roda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mengangkat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doa-doa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dewa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cahaya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mengubah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"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roda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bumi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"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kembali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arah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matahari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memperpanjang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hari-hari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musim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panas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</w:p>
    <w:p w:rsidR="00144BED" w:rsidRPr="00DB4807" w:rsidRDefault="00382226" w:rsidP="00382226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color w:val="555555"/>
          <w:sz w:val="28"/>
          <w:szCs w:val="28"/>
        </w:rPr>
      </w:pPr>
      <w:bookmarkStart w:id="0" w:name="more"/>
      <w:bookmarkEnd w:id="0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             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abad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pertengahan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orang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Kristen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mengadaptasi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tradisi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ini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menggunakan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sebagai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bagian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persiapan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rohani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menyambut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hari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Natal.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Karena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,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Kristus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adalah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"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Terang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datang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dunia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"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melenyapkan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kegelapan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dosa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memancarkan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kebenaran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kasih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Allah (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Yoh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3:19-</w:t>
      </w:r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21 )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1600,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baik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Katolik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Lutheran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memiliki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praktek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formal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mengenai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 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Simbolisme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adalah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sesuatu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amat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indah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ini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terbuat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berbagai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jenis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pepohonan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kehidupan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Bahkan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pepohonan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ini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memiliki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makna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tradisional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sekaligus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lastRenderedPageBreak/>
        <w:t>menggambarkan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iman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: Laurel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kemenangan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atas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penganiayaan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penderitaan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Pinus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Holly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Yew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keabadian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Cedar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sebagai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kekuatan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kesembuhan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Holly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juga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memiliki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simbolisme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Kristen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yaitu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daun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berduri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mengingatkan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mahkota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duri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Konon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menurut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legenda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Inggris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dikisahkan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bahwa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kayu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Salib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terbuat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pohon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Holly.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,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tidak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memiliki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awal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atau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akhir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Allah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abadi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keabadian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jiwa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kehidupan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kekal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Kristus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 </w:t>
      </w:r>
    </w:p>
    <w:p w:rsidR="00144BED" w:rsidRPr="00DB4807" w:rsidRDefault="00382226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color w:val="555555"/>
          <w:sz w:val="28"/>
          <w:szCs w:val="28"/>
        </w:rPr>
      </w:pPr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              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Setiap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pohon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cemara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kacang-kacangan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polong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biji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digunakan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menghias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juga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kehidupan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kebangkitan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Secara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utuh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hijau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menggambarkan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keabadian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jiwa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baru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kehidupan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kekal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dijanjikan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kepada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melalui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Kristus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Firman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kekal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Bapa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datang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dunia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menjadi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manusia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seutuhnya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menang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atas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dosa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kematian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-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Nya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melalui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sengsara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wafat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kebangkitan-Nya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</w:p>
    <w:p w:rsidR="00144BED" w:rsidRPr="00DB4807" w:rsidRDefault="00382226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color w:val="555555"/>
          <w:sz w:val="28"/>
          <w:szCs w:val="28"/>
        </w:rPr>
      </w:pPr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               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Empat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mewakili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empat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 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Suatu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tradisi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menjelaskan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bahwa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setiap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seribu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tahun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membutuhkan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 4.000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tahun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lamanya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Adam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Hawa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sampai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kelahiran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Juruselamat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Tiga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batang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berwarna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ungu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satu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mawar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(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berwarna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merah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muda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).</w:t>
      </w:r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Lilin-lilin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ungu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khususnya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doa</w:t>
      </w:r>
      <w:proofErr w:type="spellEnd"/>
      <w:proofErr w:type="gram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tobat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pengorbanan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karya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amal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selama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berwarna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merah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muda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menyala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ketiga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yaitu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 </w:t>
      </w:r>
      <w:proofErr w:type="spellStart"/>
      <w:r w:rsidR="00144BED" w:rsidRPr="00DB4807">
        <w:rPr>
          <w:rFonts w:ascii="Cambria" w:eastAsia="Times New Roman" w:hAnsi="Cambria"/>
          <w:i/>
          <w:iCs/>
          <w:color w:val="555555"/>
          <w:sz w:val="28"/>
          <w:szCs w:val="28"/>
        </w:rPr>
        <w:t>Gaudete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ketika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imam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juga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memakai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kasula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merah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muda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Misa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kudus;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Gaudete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adalah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sukacita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karena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umat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beriman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telah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tiba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titik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tengah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ketika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penantian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umat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beriman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sudah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mencapai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separuh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lebih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Natal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hampir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tiba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Cahaya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harapan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kedatangan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Tuhan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pertama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dunia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sekaligus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sebagai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antisipasi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kedatangan</w:t>
      </w:r>
      <w:r w:rsidRPr="00DB4807">
        <w:rPr>
          <w:rFonts w:ascii="Cambria" w:eastAsia="Times New Roman" w:hAnsi="Cambria"/>
          <w:color w:val="555555"/>
          <w:sz w:val="28"/>
          <w:szCs w:val="28"/>
        </w:rPr>
        <w:t>-</w:t>
      </w:r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Nya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kedua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kali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menghakimi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orang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hidup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proofErr w:type="gramStart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>mati</w:t>
      </w:r>
      <w:proofErr w:type="spellEnd"/>
      <w:r w:rsidR="00144BED" w:rsidRPr="00DB4807">
        <w:rPr>
          <w:rFonts w:ascii="Cambria" w:eastAsia="Times New Roman" w:hAnsi="Cambria"/>
          <w:color w:val="555555"/>
          <w:sz w:val="28"/>
          <w:szCs w:val="28"/>
        </w:rPr>
        <w:t xml:space="preserve"> .</w:t>
      </w:r>
      <w:proofErr w:type="gramEnd"/>
    </w:p>
    <w:p w:rsidR="00144BED" w:rsidRPr="00DB4807" w:rsidRDefault="00144BED" w:rsidP="00382226">
      <w:pPr>
        <w:shd w:val="clear" w:color="auto" w:fill="FFFFFF"/>
        <w:spacing w:after="0" w:line="384" w:lineRule="atLeast"/>
        <w:ind w:firstLine="720"/>
        <w:jc w:val="both"/>
        <w:rPr>
          <w:rFonts w:ascii="Cambria" w:eastAsia="Times New Roman" w:hAnsi="Cambria"/>
          <w:color w:val="555555"/>
          <w:sz w:val="28"/>
          <w:szCs w:val="28"/>
        </w:rPr>
      </w:pP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Cahaya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juga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melambangkan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Kristus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sebagai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terang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dunia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Beberapa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adaptasi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modern,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menempatkan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putih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tepat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tengah-tengah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,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menyimbolkan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Kristus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Natal.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pula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tradisi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mengganti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tiga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satu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merah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muda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empat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putih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yang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akan</w:t>
      </w:r>
      <w:proofErr w:type="spellEnd"/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sepanjang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 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keluarga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,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paling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tepat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waktu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setelah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Sebuah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doa</w:t>
      </w:r>
      <w:proofErr w:type="spellEnd"/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tradisional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biasanya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disertai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menyalanya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adalah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:</w:t>
      </w:r>
    </w:p>
    <w:p w:rsidR="00144BED" w:rsidRPr="00DB4807" w:rsidRDefault="00144BED" w:rsidP="00382226">
      <w:pPr>
        <w:shd w:val="clear" w:color="auto" w:fill="FFFFFF"/>
        <w:spacing w:after="0" w:line="384" w:lineRule="atLeast"/>
        <w:ind w:firstLine="720"/>
        <w:jc w:val="both"/>
        <w:rPr>
          <w:rFonts w:ascii="Cambria" w:eastAsia="Times New Roman" w:hAnsi="Cambria"/>
          <w:color w:val="555555"/>
          <w:sz w:val="28"/>
          <w:szCs w:val="28"/>
        </w:rPr>
      </w:pP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Pertama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ayah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keluarga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memberkati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: “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Allah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menyucikan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segala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sesuatu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sudilah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mencurahkan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berkat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-Mu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atas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karangan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bunga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ini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akan</w:t>
      </w:r>
      <w:proofErr w:type="spellEnd"/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menggunakannya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mempersiapkan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kedatangan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Kristus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Semoga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dapat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menerima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rahmat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-Mu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berlimpah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hidup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berkuasa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sepanjang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Amin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.”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Lalu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dilanjutkan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doa</w:t>
      </w:r>
      <w:proofErr w:type="spellEnd"/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ini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setiap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selama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pertama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, “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Allah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kebangkitkan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Mu,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mohon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selamatkanlah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dosa-dosa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pembebasanmu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hidup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lastRenderedPageBreak/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berkuasa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sepanjang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Amin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.”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Kemudian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anak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bungsu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keluarga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satu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ungu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.</w:t>
      </w:r>
      <w:proofErr w:type="gramEnd"/>
    </w:p>
    <w:p w:rsidR="00144BED" w:rsidRPr="00DB4807" w:rsidRDefault="00144BED" w:rsidP="00382226">
      <w:pPr>
        <w:shd w:val="clear" w:color="auto" w:fill="FFFFFF"/>
        <w:spacing w:after="0" w:line="384" w:lineRule="atLeast"/>
        <w:ind w:firstLine="720"/>
        <w:jc w:val="both"/>
        <w:rPr>
          <w:rFonts w:ascii="Cambria" w:eastAsia="Times New Roman" w:hAnsi="Cambria"/>
          <w:color w:val="555555"/>
          <w:sz w:val="28"/>
          <w:szCs w:val="28"/>
        </w:rPr>
      </w:pP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Selama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kedua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ayah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“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Allah,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bangkitkanlah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mempersiapkan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menanti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kedatangan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-Mu agar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dapat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melayani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Engkau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pikiran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murni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hidup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berkuasa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sepanjang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Amin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."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Kemudian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anak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sulung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pertama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satu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lagi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</w:p>
    <w:p w:rsidR="00144BED" w:rsidRPr="00DB4807" w:rsidRDefault="00144BED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color w:val="555555"/>
          <w:sz w:val="28"/>
          <w:szCs w:val="28"/>
        </w:rPr>
      </w:pP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Selama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ketiga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ayah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“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Allah,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mohon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-Mu,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sendengkanlah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telinga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-Mu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cahayailah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pikiran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gelap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rahmat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-Mu.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 </w:t>
      </w:r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hidup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berkuasa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sepanjang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Amin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."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Sang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ibu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kemudian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dua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sebelumnya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lalu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merah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muda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</w:p>
    <w:p w:rsidR="00144BED" w:rsidRPr="00DB4807" w:rsidRDefault="00144BED" w:rsidP="00382226">
      <w:pPr>
        <w:shd w:val="clear" w:color="auto" w:fill="FFFFFF"/>
        <w:spacing w:after="0" w:line="384" w:lineRule="atLeast"/>
        <w:ind w:firstLine="720"/>
        <w:jc w:val="both"/>
        <w:rPr>
          <w:rFonts w:ascii="Cambria" w:eastAsia="Times New Roman" w:hAnsi="Cambria"/>
          <w:color w:val="555555"/>
          <w:sz w:val="28"/>
          <w:szCs w:val="28"/>
        </w:rPr>
      </w:pP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Akhirnya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Minggu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keempat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Advent, sang ayah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kembali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“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Allah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kuasa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-Mu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datang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curahilah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dengan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rahmat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-Mu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ampunilah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dosa-dosa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kami</w:t>
      </w:r>
      <w:proofErr w:type="spellEnd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. "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Sang ayah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kemudian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menyalakan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semua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lilin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="00382226"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adalah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mas</w:t>
      </w:r>
      <w:proofErr w:type="spellEnd"/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yang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tepat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untuk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memperteguh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iman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kepada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Tuhan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lingkaran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doa-doa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selama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juga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mempersiapkan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menanti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hari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Natal.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Selain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itu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tradisi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ini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juga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membuat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menjadi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antusias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didalam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rumah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tidak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melupakan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arti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sebenarnya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Natal.</w:t>
      </w:r>
      <w:proofErr w:type="gramEnd"/>
    </w:p>
    <w:p w:rsidR="008E768B" w:rsidRPr="00DB4807" w:rsidRDefault="008E768B" w:rsidP="00382226">
      <w:pPr>
        <w:shd w:val="clear" w:color="auto" w:fill="FFFFFF"/>
        <w:spacing w:after="0" w:line="384" w:lineRule="atLeast"/>
        <w:ind w:firstLine="720"/>
        <w:jc w:val="both"/>
        <w:rPr>
          <w:rFonts w:ascii="Cambria" w:eastAsia="Times New Roman" w:hAnsi="Cambria"/>
          <w:color w:val="555555"/>
          <w:sz w:val="28"/>
          <w:szCs w:val="28"/>
        </w:rPr>
      </w:pPr>
    </w:p>
    <w:p w:rsidR="00144BED" w:rsidRPr="00DB4807" w:rsidRDefault="00C34B25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color w:val="555555"/>
          <w:sz w:val="28"/>
          <w:szCs w:val="28"/>
        </w:rPr>
      </w:pP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Demikian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saudara-saudari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tradisi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Semoga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semakin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menyadari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betapa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penting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sebagai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persiapan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menyambut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Sang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Juruselamat</w:t>
      </w:r>
      <w:proofErr w:type="spellEnd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, 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Tuhan</w:t>
      </w:r>
      <w:proofErr w:type="spellEnd"/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Yesus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Kristus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.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Selamat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menghayati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menghayati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masa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Adven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proofErr w:type="gramStart"/>
      <w:r w:rsidRPr="00DB4807">
        <w:rPr>
          <w:rFonts w:ascii="Cambria" w:eastAsia="Times New Roman" w:hAnsi="Cambria"/>
          <w:color w:val="555555"/>
          <w:sz w:val="28"/>
          <w:szCs w:val="28"/>
        </w:rPr>
        <w:t>Tuhan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Yesus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memberkati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kita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semua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orang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beriman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dan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seluruh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umat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  <w:proofErr w:type="spellStart"/>
      <w:r w:rsidRPr="00DB4807">
        <w:rPr>
          <w:rFonts w:ascii="Cambria" w:eastAsia="Times New Roman" w:hAnsi="Cambria"/>
          <w:color w:val="555555"/>
          <w:sz w:val="28"/>
          <w:szCs w:val="28"/>
        </w:rPr>
        <w:t>manusia</w:t>
      </w:r>
      <w:proofErr w:type="spellEnd"/>
      <w:r w:rsidRPr="00DB4807">
        <w:rPr>
          <w:rFonts w:ascii="Cambria" w:eastAsia="Times New Roman" w:hAnsi="Cambria"/>
          <w:color w:val="555555"/>
          <w:sz w:val="28"/>
          <w:szCs w:val="28"/>
        </w:rPr>
        <w:t>.</w:t>
      </w:r>
      <w:proofErr w:type="gramEnd"/>
      <w:r w:rsidRPr="00DB4807">
        <w:rPr>
          <w:rFonts w:ascii="Cambria" w:eastAsia="Times New Roman" w:hAnsi="Cambria"/>
          <w:color w:val="555555"/>
          <w:sz w:val="28"/>
          <w:szCs w:val="28"/>
        </w:rPr>
        <w:t xml:space="preserve"> </w:t>
      </w:r>
    </w:p>
    <w:p w:rsidR="00C34B25" w:rsidRPr="00DB4807" w:rsidRDefault="00C34B25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color w:val="555555"/>
          <w:sz w:val="28"/>
          <w:szCs w:val="28"/>
        </w:rPr>
      </w:pPr>
    </w:p>
    <w:p w:rsidR="00C34B25" w:rsidRPr="00DB4807" w:rsidRDefault="00C34B25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b/>
          <w:i/>
          <w:color w:val="555555"/>
          <w:sz w:val="28"/>
          <w:szCs w:val="28"/>
          <w:u w:val="single"/>
        </w:rPr>
      </w:pP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color w:val="555555"/>
          <w:sz w:val="28"/>
          <w:szCs w:val="28"/>
        </w:rPr>
        <w:tab/>
      </w:r>
      <w:r w:rsidRPr="00DB4807">
        <w:rPr>
          <w:rFonts w:ascii="Cambria" w:eastAsia="Times New Roman" w:hAnsi="Cambria"/>
          <w:b/>
          <w:i/>
          <w:color w:val="555555"/>
          <w:sz w:val="28"/>
          <w:szCs w:val="28"/>
          <w:u w:val="single"/>
        </w:rPr>
        <w:t>Tim Campus Ministry</w:t>
      </w:r>
    </w:p>
    <w:p w:rsidR="00C34B25" w:rsidRPr="00DB4807" w:rsidRDefault="00C34B25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b/>
          <w:i/>
          <w:color w:val="555555"/>
          <w:sz w:val="28"/>
          <w:szCs w:val="28"/>
          <w:u w:val="single"/>
        </w:rPr>
      </w:pPr>
    </w:p>
    <w:p w:rsidR="00C34B25" w:rsidRPr="00DB4807" w:rsidRDefault="00C34B25" w:rsidP="00144BED">
      <w:pPr>
        <w:shd w:val="clear" w:color="auto" w:fill="FFFFFF"/>
        <w:spacing w:after="0" w:line="384" w:lineRule="atLeast"/>
        <w:jc w:val="both"/>
        <w:rPr>
          <w:rFonts w:ascii="Cambria" w:eastAsia="Times New Roman" w:hAnsi="Cambria"/>
          <w:color w:val="555555"/>
          <w:sz w:val="28"/>
          <w:szCs w:val="28"/>
        </w:rPr>
      </w:pPr>
    </w:p>
    <w:p w:rsidR="00392EEF" w:rsidRPr="00DB4807" w:rsidRDefault="00392EEF" w:rsidP="00C34B25">
      <w:pPr>
        <w:shd w:val="clear" w:color="auto" w:fill="FFFFFF"/>
        <w:spacing w:line="240" w:lineRule="auto"/>
        <w:ind w:left="5040" w:firstLine="720"/>
        <w:rPr>
          <w:rFonts w:ascii="Cambria" w:eastAsia="Times New Roman" w:hAnsi="Cambria"/>
          <w:b/>
          <w:color w:val="555555"/>
          <w:sz w:val="28"/>
          <w:szCs w:val="28"/>
        </w:rPr>
      </w:pPr>
      <w:proofErr w:type="spellStart"/>
      <w:proofErr w:type="gramStart"/>
      <w:r w:rsidRPr="00DB4807">
        <w:rPr>
          <w:rFonts w:ascii="Cambria" w:eastAsia="Times New Roman" w:hAnsi="Cambria"/>
          <w:b/>
          <w:color w:val="555555"/>
          <w:sz w:val="28"/>
          <w:szCs w:val="28"/>
        </w:rPr>
        <w:t>Sumber</w:t>
      </w:r>
      <w:proofErr w:type="spellEnd"/>
      <w:r w:rsidRPr="00DB4807">
        <w:rPr>
          <w:rFonts w:ascii="Cambria" w:eastAsia="Times New Roman" w:hAnsi="Cambria"/>
          <w:b/>
          <w:color w:val="555555"/>
          <w:sz w:val="28"/>
          <w:szCs w:val="28"/>
        </w:rPr>
        <w:t xml:space="preserve"> :</w:t>
      </w:r>
      <w:proofErr w:type="gramEnd"/>
      <w:r w:rsidRPr="00DB4807">
        <w:rPr>
          <w:rFonts w:ascii="Cambria" w:eastAsia="Times New Roman" w:hAnsi="Cambria"/>
          <w:b/>
          <w:color w:val="555555"/>
          <w:sz w:val="28"/>
          <w:szCs w:val="28"/>
        </w:rPr>
        <w:t xml:space="preserve">   </w:t>
      </w:r>
      <w:hyperlink r:id="rId7" w:tooltip="author profile" w:history="1">
        <w:proofErr w:type="spellStart"/>
        <w:r w:rsidRPr="00DB4807">
          <w:rPr>
            <w:rFonts w:ascii="Cambria" w:eastAsia="Times New Roman" w:hAnsi="Cambria"/>
            <w:b/>
            <w:color w:val="999999"/>
            <w:sz w:val="28"/>
            <w:szCs w:val="28"/>
          </w:rPr>
          <w:t>Katolisitas</w:t>
        </w:r>
        <w:proofErr w:type="spellEnd"/>
        <w:r w:rsidRPr="00DB4807">
          <w:rPr>
            <w:rFonts w:ascii="Cambria" w:eastAsia="Times New Roman" w:hAnsi="Cambria"/>
            <w:b/>
            <w:color w:val="999999"/>
            <w:sz w:val="28"/>
            <w:szCs w:val="28"/>
          </w:rPr>
          <w:t xml:space="preserve"> </w:t>
        </w:r>
        <w:r w:rsidR="008E768B" w:rsidRPr="00DB4807">
          <w:rPr>
            <w:rFonts w:ascii="Cambria" w:eastAsia="Times New Roman" w:hAnsi="Cambria"/>
            <w:b/>
            <w:color w:val="999999"/>
            <w:sz w:val="28"/>
            <w:szCs w:val="28"/>
          </w:rPr>
          <w:t xml:space="preserve"> </w:t>
        </w:r>
        <w:r w:rsidRPr="00DB4807">
          <w:rPr>
            <w:rFonts w:ascii="Cambria" w:eastAsia="Times New Roman" w:hAnsi="Cambria"/>
            <w:b/>
            <w:color w:val="999999"/>
            <w:sz w:val="28"/>
            <w:szCs w:val="28"/>
          </w:rPr>
          <w:t>Indonesia</w:t>
        </w:r>
      </w:hyperlink>
    </w:p>
    <w:p w:rsidR="00392EEF" w:rsidRPr="00DB4807" w:rsidRDefault="00392EEF" w:rsidP="00144BED">
      <w:pPr>
        <w:shd w:val="clear" w:color="auto" w:fill="FFFFFF"/>
        <w:spacing w:after="180" w:line="384" w:lineRule="atLeast"/>
        <w:jc w:val="both"/>
        <w:rPr>
          <w:rFonts w:ascii="Cambria" w:eastAsia="Times New Roman" w:hAnsi="Cambria"/>
          <w:b/>
          <w:color w:val="555555"/>
          <w:sz w:val="28"/>
          <w:szCs w:val="28"/>
        </w:rPr>
      </w:pPr>
    </w:p>
    <w:p w:rsidR="005D6918" w:rsidRPr="008E768B" w:rsidRDefault="005D6918">
      <w:pPr>
        <w:rPr>
          <w:rFonts w:ascii="Cambria" w:hAnsi="Cambria"/>
          <w:sz w:val="24"/>
          <w:szCs w:val="24"/>
        </w:rPr>
      </w:pPr>
    </w:p>
    <w:sectPr w:rsidR="005D6918" w:rsidRPr="008E768B" w:rsidSect="00C602F6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4BED"/>
    <w:rsid w:val="00144BED"/>
    <w:rsid w:val="001745F9"/>
    <w:rsid w:val="001E65F6"/>
    <w:rsid w:val="002572FC"/>
    <w:rsid w:val="00276331"/>
    <w:rsid w:val="00287018"/>
    <w:rsid w:val="00382226"/>
    <w:rsid w:val="00392EEF"/>
    <w:rsid w:val="005D6918"/>
    <w:rsid w:val="006B6A09"/>
    <w:rsid w:val="007517A3"/>
    <w:rsid w:val="008E768B"/>
    <w:rsid w:val="009F2526"/>
    <w:rsid w:val="00AB185C"/>
    <w:rsid w:val="00C34B25"/>
    <w:rsid w:val="00C602F6"/>
    <w:rsid w:val="00DB4807"/>
    <w:rsid w:val="00F2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44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4B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mestamp-link">
    <w:name w:val="timestamp-link"/>
    <w:rsid w:val="00144BED"/>
  </w:style>
  <w:style w:type="character" w:customStyle="1" w:styleId="fn">
    <w:name w:val="fn"/>
    <w:rsid w:val="00144BED"/>
  </w:style>
  <w:style w:type="character" w:styleId="Hyperlink">
    <w:name w:val="Hyperlink"/>
    <w:uiPriority w:val="99"/>
    <w:semiHidden/>
    <w:unhideWhenUsed/>
    <w:rsid w:val="00144B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7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28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8080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gger.com/profile/160819929368376637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cA-kaLNIdQ4/UqLGAgyY1QI/AAAAAAAAESU/_lLGf7Z6G1I/s1600/Advent_Wreath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FA41-2336-4711-AE77-DB7DDD45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Links>
    <vt:vector size="12" baseType="variant"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https://www.blogger.com/profile/16081992936837663764</vt:lpwstr>
      </vt:variant>
      <vt:variant>
        <vt:lpwstr/>
      </vt:variant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http://3.bp.blogspot.com/-cA-kaLNIdQ4/UqLGAgyY1QI/AAAAAAAAESU/_lLGf7Z6G1I/s1600/Advent_Wreath.jpg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WELCOME</cp:lastModifiedBy>
  <cp:revision>3</cp:revision>
  <cp:lastPrinted>2020-11-26T03:12:00Z</cp:lastPrinted>
  <dcterms:created xsi:type="dcterms:W3CDTF">2020-11-25T01:29:00Z</dcterms:created>
  <dcterms:modified xsi:type="dcterms:W3CDTF">2020-11-26T03:13:00Z</dcterms:modified>
</cp:coreProperties>
</file>